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4F" w:rsidRPr="00042488" w:rsidRDefault="00FF1E6D" w:rsidP="008A194F">
      <w:pPr>
        <w:spacing w:after="120" w:line="240" w:lineRule="auto"/>
        <w:jc w:val="center"/>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b/>
          <w:bCs/>
          <w:color w:val="000000"/>
          <w:sz w:val="23"/>
          <w:szCs w:val="23"/>
          <w:lang w:val="en-US" w:eastAsia="ru-RU"/>
        </w:rPr>
        <w:t xml:space="preserve">Corporate action notice/Insider information disclosure "Information on </w:t>
      </w:r>
      <w:proofErr w:type="spellStart"/>
      <w:r w:rsidRPr="008A194F">
        <w:rPr>
          <w:rFonts w:ascii="Times New Roman" w:eastAsia="Times New Roman" w:hAnsi="Times New Roman" w:cs="Times New Roman"/>
          <w:b/>
          <w:bCs/>
          <w:color w:val="000000"/>
          <w:sz w:val="23"/>
          <w:szCs w:val="23"/>
          <w:lang w:val="en-US" w:eastAsia="ru-RU"/>
        </w:rPr>
        <w:t>resolutons</w:t>
      </w:r>
      <w:proofErr w:type="spellEnd"/>
      <w:r w:rsidRPr="008A194F">
        <w:rPr>
          <w:rFonts w:ascii="Times New Roman" w:eastAsia="Times New Roman" w:hAnsi="Times New Roman" w:cs="Times New Roman"/>
          <w:b/>
          <w:bCs/>
          <w:color w:val="000000"/>
          <w:sz w:val="23"/>
          <w:szCs w:val="23"/>
          <w:lang w:val="en-US" w:eastAsia="ru-RU"/>
        </w:rPr>
        <w:t xml:space="preserve">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114"/>
        <w:gridCol w:w="1170"/>
        <w:gridCol w:w="1662"/>
        <w:gridCol w:w="2117"/>
      </w:tblGrid>
      <w:tr w:rsidR="00026C96" w:rsidTr="008A194F">
        <w:trPr>
          <w:trHeight w:val="288"/>
        </w:trPr>
        <w:tc>
          <w:tcPr>
            <w:tcW w:w="9063" w:type="dxa"/>
            <w:gridSpan w:val="4"/>
            <w:tcBorders>
              <w:top w:val="single" w:sz="4" w:space="0" w:color="auto"/>
              <w:left w:val="single" w:sz="4" w:space="0" w:color="auto"/>
              <w:bottom w:val="nil"/>
              <w:right w:val="single" w:sz="4" w:space="0" w:color="auto"/>
            </w:tcBorders>
            <w:shd w:val="clear" w:color="auto" w:fill="FFFFFF"/>
            <w:vAlign w:val="center"/>
          </w:tcPr>
          <w:p w:rsidR="008A194F" w:rsidRPr="008A194F" w:rsidRDefault="00FF1E6D" w:rsidP="008A194F">
            <w:pPr>
              <w:spacing w:after="0" w:line="230" w:lineRule="exact"/>
              <w:jc w:val="center"/>
              <w:rPr>
                <w:rFonts w:ascii="Times New Roman" w:eastAsia="Times New Roman" w:hAnsi="Times New Roman" w:cs="Times New Roman"/>
                <w:sz w:val="24"/>
                <w:szCs w:val="24"/>
                <w:lang w:eastAsia="ru-RU"/>
              </w:rPr>
            </w:pPr>
            <w:r w:rsidRPr="008A194F">
              <w:rPr>
                <w:rFonts w:ascii="Times New Roman" w:eastAsia="Times New Roman" w:hAnsi="Times New Roman" w:cs="Times New Roman"/>
                <w:color w:val="000000"/>
                <w:sz w:val="23"/>
                <w:szCs w:val="23"/>
                <w:lang w:val="en-US" w:eastAsia="ru-RU"/>
              </w:rPr>
              <w:t>1. General</w:t>
            </w:r>
          </w:p>
        </w:tc>
      </w:tr>
      <w:tr w:rsidR="00026C96" w:rsidRPr="00CB1252" w:rsidTr="008A194F">
        <w:trPr>
          <w:trHeight w:val="835"/>
        </w:trPr>
        <w:tc>
          <w:tcPr>
            <w:tcW w:w="4114" w:type="dxa"/>
            <w:tcBorders>
              <w:top w:val="single" w:sz="4" w:space="0" w:color="auto"/>
              <w:left w:val="single" w:sz="4" w:space="0" w:color="auto"/>
              <w:bottom w:val="nil"/>
              <w:right w:val="nil"/>
            </w:tcBorders>
            <w:shd w:val="clear" w:color="auto" w:fill="FFFFFF"/>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1.1. Full corporate name of the Issuer:</w:t>
            </w:r>
          </w:p>
        </w:tc>
        <w:tc>
          <w:tcPr>
            <w:tcW w:w="4949" w:type="dxa"/>
            <w:gridSpan w:val="3"/>
            <w:tcBorders>
              <w:top w:val="single" w:sz="4" w:space="0" w:color="auto"/>
              <w:left w:val="single" w:sz="4" w:space="0" w:color="auto"/>
              <w:bottom w:val="nil"/>
              <w:right w:val="single" w:sz="4" w:space="0" w:color="auto"/>
            </w:tcBorders>
            <w:shd w:val="clear" w:color="auto" w:fill="FFFFFF"/>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b/>
                <w:bCs/>
                <w:color w:val="000000"/>
                <w:sz w:val="23"/>
                <w:szCs w:val="23"/>
                <w:lang w:val="en-US" w:eastAsia="ru-RU"/>
              </w:rPr>
              <w:t>Public Joint Stock Company "Interregional Distribution Grid Company of the South”</w:t>
            </w:r>
          </w:p>
        </w:tc>
      </w:tr>
      <w:tr w:rsidR="00026C96" w:rsidRPr="00CB1252">
        <w:trPr>
          <w:trHeight w:val="562"/>
        </w:trPr>
        <w:tc>
          <w:tcPr>
            <w:tcW w:w="4114" w:type="dxa"/>
            <w:tcBorders>
              <w:top w:val="single" w:sz="4" w:space="0" w:color="auto"/>
              <w:left w:val="single" w:sz="4" w:space="0" w:color="auto"/>
              <w:bottom w:val="nil"/>
              <w:right w:val="nil"/>
            </w:tcBorders>
            <w:shd w:val="clear" w:color="auto" w:fill="FFFFFF"/>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1.2. Abbreviated corporate name of the Issuer:</w:t>
            </w:r>
          </w:p>
        </w:tc>
        <w:tc>
          <w:tcPr>
            <w:tcW w:w="4949" w:type="dxa"/>
            <w:gridSpan w:val="3"/>
            <w:tcBorders>
              <w:top w:val="single" w:sz="4" w:space="0" w:color="auto"/>
              <w:left w:val="single" w:sz="4" w:space="0" w:color="auto"/>
              <w:bottom w:val="nil"/>
              <w:right w:val="single" w:sz="4" w:space="0" w:color="auto"/>
            </w:tcBorders>
            <w:shd w:val="clear" w:color="auto" w:fill="FFFFFF"/>
          </w:tcPr>
          <w:p w:rsidR="008A194F" w:rsidRPr="00042488" w:rsidRDefault="00FF1E6D" w:rsidP="008A194F">
            <w:pPr>
              <w:spacing w:after="0" w:line="230" w:lineRule="exact"/>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b/>
                <w:bCs/>
                <w:color w:val="000000"/>
                <w:sz w:val="23"/>
                <w:szCs w:val="23"/>
                <w:lang w:val="en-US" w:eastAsia="ru-RU"/>
              </w:rPr>
              <w:t>IDGC of the South, PJSC</w:t>
            </w:r>
          </w:p>
        </w:tc>
      </w:tr>
      <w:tr w:rsidR="00026C96" w:rsidRPr="00CB1252">
        <w:trPr>
          <w:trHeight w:val="288"/>
        </w:trPr>
        <w:tc>
          <w:tcPr>
            <w:tcW w:w="4114" w:type="dxa"/>
            <w:tcBorders>
              <w:top w:val="single" w:sz="4" w:space="0" w:color="auto"/>
              <w:left w:val="single" w:sz="4" w:space="0" w:color="auto"/>
              <w:bottom w:val="nil"/>
              <w:right w:val="nil"/>
            </w:tcBorders>
            <w:shd w:val="clear" w:color="auto" w:fill="FFFFFF"/>
            <w:vAlign w:val="bottom"/>
          </w:tcPr>
          <w:p w:rsidR="008A194F" w:rsidRPr="008A194F" w:rsidRDefault="00FF1E6D" w:rsidP="008A194F">
            <w:pPr>
              <w:spacing w:after="0" w:line="230" w:lineRule="exact"/>
              <w:jc w:val="both"/>
              <w:rPr>
                <w:rFonts w:ascii="Times New Roman" w:eastAsia="Times New Roman" w:hAnsi="Times New Roman" w:cs="Times New Roman"/>
                <w:sz w:val="24"/>
                <w:szCs w:val="24"/>
                <w:lang w:eastAsia="ru-RU"/>
              </w:rPr>
            </w:pPr>
            <w:r w:rsidRPr="008A194F">
              <w:rPr>
                <w:rFonts w:ascii="Times New Roman" w:eastAsia="Times New Roman" w:hAnsi="Times New Roman" w:cs="Times New Roman"/>
                <w:color w:val="000000"/>
                <w:sz w:val="23"/>
                <w:szCs w:val="23"/>
                <w:lang w:val="en-US" w:eastAsia="ru-RU"/>
              </w:rPr>
              <w:t>1.3. Location of the Issuer:</w:t>
            </w:r>
          </w:p>
        </w:tc>
        <w:tc>
          <w:tcPr>
            <w:tcW w:w="4949" w:type="dxa"/>
            <w:gridSpan w:val="3"/>
            <w:tcBorders>
              <w:top w:val="single" w:sz="4" w:space="0" w:color="auto"/>
              <w:left w:val="single" w:sz="4" w:space="0" w:color="auto"/>
              <w:bottom w:val="nil"/>
              <w:right w:val="single" w:sz="4" w:space="0" w:color="auto"/>
            </w:tcBorders>
            <w:shd w:val="clear" w:color="auto" w:fill="FFFFFF"/>
            <w:vAlign w:val="bottom"/>
          </w:tcPr>
          <w:p w:rsidR="008A194F" w:rsidRPr="00042488" w:rsidRDefault="00FF1E6D" w:rsidP="008A194F">
            <w:pPr>
              <w:spacing w:after="0" w:line="230" w:lineRule="exact"/>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b/>
                <w:bCs/>
                <w:color w:val="000000"/>
                <w:sz w:val="23"/>
                <w:szCs w:val="23"/>
                <w:lang w:val="en-US" w:eastAsia="ru-RU"/>
              </w:rPr>
              <w:t>Rostov-on-Don, Russian Federation</w:t>
            </w:r>
          </w:p>
        </w:tc>
      </w:tr>
      <w:tr w:rsidR="00026C96">
        <w:trPr>
          <w:trHeight w:val="283"/>
        </w:trPr>
        <w:tc>
          <w:tcPr>
            <w:tcW w:w="4114" w:type="dxa"/>
            <w:tcBorders>
              <w:top w:val="single" w:sz="4" w:space="0" w:color="auto"/>
              <w:left w:val="single" w:sz="4" w:space="0" w:color="auto"/>
              <w:bottom w:val="nil"/>
              <w:right w:val="nil"/>
            </w:tcBorders>
            <w:shd w:val="clear" w:color="auto" w:fill="FFFFFF"/>
            <w:vAlign w:val="bottom"/>
          </w:tcPr>
          <w:p w:rsidR="008A194F" w:rsidRPr="008A194F" w:rsidRDefault="00FF1E6D" w:rsidP="008A194F">
            <w:pPr>
              <w:spacing w:after="0" w:line="230" w:lineRule="exact"/>
              <w:rPr>
                <w:rFonts w:ascii="Times New Roman" w:eastAsia="Times New Roman" w:hAnsi="Times New Roman" w:cs="Times New Roman"/>
                <w:sz w:val="24"/>
                <w:szCs w:val="24"/>
                <w:lang w:eastAsia="ru-RU"/>
              </w:rPr>
            </w:pPr>
            <w:r w:rsidRPr="008A194F">
              <w:rPr>
                <w:rFonts w:ascii="Times New Roman" w:eastAsia="Times New Roman" w:hAnsi="Times New Roman" w:cs="Times New Roman"/>
                <w:color w:val="000000"/>
                <w:sz w:val="23"/>
                <w:szCs w:val="23"/>
                <w:lang w:val="en-US" w:eastAsia="ru-RU"/>
              </w:rPr>
              <w:t>1.4. OGRN of the Issuer:</w:t>
            </w:r>
          </w:p>
        </w:tc>
        <w:tc>
          <w:tcPr>
            <w:tcW w:w="4949" w:type="dxa"/>
            <w:gridSpan w:val="3"/>
            <w:tcBorders>
              <w:top w:val="single" w:sz="4" w:space="0" w:color="auto"/>
              <w:left w:val="single" w:sz="4" w:space="0" w:color="auto"/>
              <w:bottom w:val="nil"/>
              <w:right w:val="single" w:sz="4" w:space="0" w:color="auto"/>
            </w:tcBorders>
            <w:shd w:val="clear" w:color="auto" w:fill="FFFFFF"/>
            <w:vAlign w:val="bottom"/>
          </w:tcPr>
          <w:p w:rsidR="008A194F" w:rsidRPr="008A194F" w:rsidRDefault="00FF1E6D" w:rsidP="008A194F">
            <w:pPr>
              <w:spacing w:after="0" w:line="230" w:lineRule="exact"/>
              <w:rPr>
                <w:rFonts w:ascii="Times New Roman" w:eastAsia="Times New Roman" w:hAnsi="Times New Roman" w:cs="Times New Roman"/>
                <w:sz w:val="24"/>
                <w:szCs w:val="24"/>
                <w:lang w:eastAsia="ru-RU"/>
              </w:rPr>
            </w:pPr>
            <w:r w:rsidRPr="008A194F">
              <w:rPr>
                <w:rFonts w:ascii="Times New Roman" w:eastAsia="Times New Roman" w:hAnsi="Times New Roman" w:cs="Times New Roman"/>
                <w:b/>
                <w:bCs/>
                <w:color w:val="000000"/>
                <w:sz w:val="23"/>
                <w:szCs w:val="23"/>
                <w:lang w:val="en-US" w:eastAsia="ru-RU"/>
              </w:rPr>
              <w:t>1076164009096</w:t>
            </w:r>
          </w:p>
        </w:tc>
      </w:tr>
      <w:tr w:rsidR="00026C96">
        <w:trPr>
          <w:trHeight w:val="288"/>
        </w:trPr>
        <w:tc>
          <w:tcPr>
            <w:tcW w:w="4114" w:type="dxa"/>
            <w:tcBorders>
              <w:top w:val="single" w:sz="4" w:space="0" w:color="auto"/>
              <w:left w:val="single" w:sz="4" w:space="0" w:color="auto"/>
              <w:bottom w:val="nil"/>
              <w:right w:val="nil"/>
            </w:tcBorders>
            <w:shd w:val="clear" w:color="auto" w:fill="FFFFFF"/>
            <w:vAlign w:val="bottom"/>
          </w:tcPr>
          <w:p w:rsidR="008A194F" w:rsidRPr="008A194F" w:rsidRDefault="00FF1E6D" w:rsidP="008A194F">
            <w:pPr>
              <w:spacing w:after="0" w:line="230" w:lineRule="exact"/>
              <w:rPr>
                <w:rFonts w:ascii="Times New Roman" w:eastAsia="Times New Roman" w:hAnsi="Times New Roman" w:cs="Times New Roman"/>
                <w:sz w:val="24"/>
                <w:szCs w:val="24"/>
                <w:lang w:eastAsia="ru-RU"/>
              </w:rPr>
            </w:pPr>
            <w:r w:rsidRPr="008A194F">
              <w:rPr>
                <w:rFonts w:ascii="Times New Roman" w:eastAsia="Times New Roman" w:hAnsi="Times New Roman" w:cs="Times New Roman"/>
                <w:color w:val="000000"/>
                <w:sz w:val="23"/>
                <w:szCs w:val="23"/>
                <w:lang w:val="en-US" w:eastAsia="ru-RU"/>
              </w:rPr>
              <w:t>1.5. TIN of the Issuer:</w:t>
            </w:r>
          </w:p>
        </w:tc>
        <w:tc>
          <w:tcPr>
            <w:tcW w:w="4949" w:type="dxa"/>
            <w:gridSpan w:val="3"/>
            <w:tcBorders>
              <w:top w:val="single" w:sz="4" w:space="0" w:color="auto"/>
              <w:left w:val="single" w:sz="4" w:space="0" w:color="auto"/>
              <w:bottom w:val="nil"/>
              <w:right w:val="single" w:sz="4" w:space="0" w:color="auto"/>
            </w:tcBorders>
            <w:shd w:val="clear" w:color="auto" w:fill="FFFFFF"/>
            <w:vAlign w:val="bottom"/>
          </w:tcPr>
          <w:p w:rsidR="008A194F" w:rsidRPr="008A194F" w:rsidRDefault="00FF1E6D" w:rsidP="008A194F">
            <w:pPr>
              <w:spacing w:after="0" w:line="230" w:lineRule="exact"/>
              <w:rPr>
                <w:rFonts w:ascii="Times New Roman" w:eastAsia="Times New Roman" w:hAnsi="Times New Roman" w:cs="Times New Roman"/>
                <w:sz w:val="24"/>
                <w:szCs w:val="24"/>
                <w:lang w:eastAsia="ru-RU"/>
              </w:rPr>
            </w:pPr>
            <w:r w:rsidRPr="008A194F">
              <w:rPr>
                <w:rFonts w:ascii="Times New Roman" w:eastAsia="Times New Roman" w:hAnsi="Times New Roman" w:cs="Times New Roman"/>
                <w:b/>
                <w:bCs/>
                <w:color w:val="000000"/>
                <w:sz w:val="23"/>
                <w:szCs w:val="23"/>
                <w:lang w:val="en-US" w:eastAsia="ru-RU"/>
              </w:rPr>
              <w:t>6164266561</w:t>
            </w:r>
          </w:p>
        </w:tc>
      </w:tr>
      <w:tr w:rsidR="00026C96" w:rsidTr="008A194F">
        <w:trPr>
          <w:trHeight w:val="840"/>
        </w:trPr>
        <w:tc>
          <w:tcPr>
            <w:tcW w:w="4114" w:type="dxa"/>
            <w:tcBorders>
              <w:top w:val="single" w:sz="4" w:space="0" w:color="auto"/>
              <w:left w:val="single" w:sz="4" w:space="0" w:color="auto"/>
              <w:bottom w:val="nil"/>
              <w:right w:val="nil"/>
            </w:tcBorders>
            <w:shd w:val="clear" w:color="auto" w:fill="FFFFFF"/>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1.6. Unique code of the Issuer, assigned by the registering authority:</w:t>
            </w:r>
          </w:p>
        </w:tc>
        <w:tc>
          <w:tcPr>
            <w:tcW w:w="4949" w:type="dxa"/>
            <w:gridSpan w:val="3"/>
            <w:tcBorders>
              <w:top w:val="single" w:sz="4" w:space="0" w:color="auto"/>
              <w:left w:val="single" w:sz="4" w:space="0" w:color="auto"/>
              <w:bottom w:val="nil"/>
              <w:right w:val="single" w:sz="4" w:space="0" w:color="auto"/>
            </w:tcBorders>
            <w:shd w:val="clear" w:color="auto" w:fill="FFFFFF"/>
          </w:tcPr>
          <w:p w:rsidR="008A194F" w:rsidRPr="008A194F" w:rsidRDefault="00FF1E6D" w:rsidP="008A194F">
            <w:pPr>
              <w:spacing w:after="0" w:line="230" w:lineRule="exact"/>
              <w:rPr>
                <w:rFonts w:ascii="Times New Roman" w:eastAsia="Times New Roman" w:hAnsi="Times New Roman" w:cs="Times New Roman"/>
                <w:sz w:val="24"/>
                <w:szCs w:val="24"/>
                <w:lang w:eastAsia="ru-RU"/>
              </w:rPr>
            </w:pPr>
            <w:r w:rsidRPr="008A194F">
              <w:rPr>
                <w:rFonts w:ascii="Times New Roman" w:eastAsia="Times New Roman" w:hAnsi="Times New Roman" w:cs="Times New Roman"/>
                <w:b/>
                <w:bCs/>
                <w:color w:val="000000"/>
                <w:sz w:val="23"/>
                <w:szCs w:val="23"/>
                <w:lang w:val="en-US" w:eastAsia="ru-RU"/>
              </w:rPr>
              <w:t>34956-Е</w:t>
            </w:r>
          </w:p>
        </w:tc>
      </w:tr>
      <w:tr w:rsidR="00026C96" w:rsidRPr="00CB1252">
        <w:trPr>
          <w:trHeight w:val="826"/>
        </w:trPr>
        <w:tc>
          <w:tcPr>
            <w:tcW w:w="4114" w:type="dxa"/>
            <w:tcBorders>
              <w:top w:val="single" w:sz="4" w:space="0" w:color="auto"/>
              <w:left w:val="single" w:sz="4" w:space="0" w:color="auto"/>
              <w:bottom w:val="nil"/>
              <w:right w:val="nil"/>
            </w:tcBorders>
            <w:shd w:val="clear" w:color="auto" w:fill="FFFFFF"/>
            <w:vAlign w:val="bottom"/>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4949" w:type="dxa"/>
            <w:gridSpan w:val="3"/>
            <w:tcBorders>
              <w:top w:val="single" w:sz="4" w:space="0" w:color="auto"/>
              <w:left w:val="single" w:sz="4" w:space="0" w:color="auto"/>
              <w:bottom w:val="nil"/>
              <w:right w:val="single" w:sz="4" w:space="0" w:color="auto"/>
            </w:tcBorders>
            <w:shd w:val="clear" w:color="auto" w:fill="FFFFFF"/>
            <w:vAlign w:val="bottom"/>
          </w:tcPr>
          <w:p w:rsidR="008A194F" w:rsidRPr="00042488" w:rsidRDefault="00CB1252" w:rsidP="008A194F">
            <w:pPr>
              <w:spacing w:after="0" w:line="240" w:lineRule="auto"/>
              <w:rPr>
                <w:rFonts w:ascii="Times New Roman" w:eastAsia="Times New Roman" w:hAnsi="Times New Roman" w:cs="Times New Roman"/>
                <w:sz w:val="24"/>
                <w:szCs w:val="24"/>
                <w:lang w:val="en-US" w:eastAsia="ru-RU"/>
              </w:rPr>
            </w:pPr>
            <w:hyperlink r:id="rId7" w:history="1">
              <w:r w:rsidR="00FF1E6D" w:rsidRPr="0004732E">
                <w:rPr>
                  <w:rStyle w:val="a3"/>
                  <w:rFonts w:ascii="Times New Roman" w:eastAsia="Times New Roman" w:hAnsi="Times New Roman" w:cs="Times New Roman"/>
                  <w:b/>
                  <w:bCs/>
                  <w:sz w:val="23"/>
                  <w:szCs w:val="23"/>
                  <w:lang w:val="en-US"/>
                </w:rPr>
                <w:t>http://www.mrsk-yuga.ru</w:t>
              </w:r>
            </w:hyperlink>
          </w:p>
          <w:p w:rsidR="008A194F" w:rsidRPr="00042488" w:rsidRDefault="00CB1252" w:rsidP="008A194F">
            <w:pPr>
              <w:spacing w:after="0" w:line="240" w:lineRule="auto"/>
              <w:rPr>
                <w:rFonts w:ascii="Times New Roman" w:eastAsia="Times New Roman" w:hAnsi="Times New Roman" w:cs="Times New Roman"/>
                <w:sz w:val="24"/>
                <w:szCs w:val="24"/>
                <w:lang w:val="en-US" w:eastAsia="ru-RU"/>
              </w:rPr>
            </w:pPr>
            <w:hyperlink r:id="rId8" w:history="1">
              <w:r w:rsidR="00FF1E6D" w:rsidRPr="008A194F">
                <w:rPr>
                  <w:rFonts w:ascii="Times New Roman" w:eastAsia="Times New Roman" w:hAnsi="Times New Roman" w:cs="Times New Roman"/>
                  <w:b/>
                  <w:bCs/>
                  <w:color w:val="000000"/>
                  <w:sz w:val="23"/>
                  <w:szCs w:val="23"/>
                  <w:u w:val="single"/>
                  <w:lang w:val="en-US"/>
                </w:rPr>
                <w:t>http://www.e-</w:t>
              </w:r>
            </w:hyperlink>
          </w:p>
          <w:p w:rsidR="008A194F" w:rsidRPr="008A194F" w:rsidRDefault="00CB1252" w:rsidP="008A194F">
            <w:pPr>
              <w:spacing w:after="0" w:line="240" w:lineRule="auto"/>
              <w:rPr>
                <w:rFonts w:ascii="Times New Roman" w:eastAsia="Times New Roman" w:hAnsi="Times New Roman" w:cs="Times New Roman"/>
                <w:sz w:val="24"/>
                <w:szCs w:val="24"/>
                <w:lang w:val="en-US" w:eastAsia="ru-RU"/>
              </w:rPr>
            </w:pPr>
            <w:hyperlink r:id="rId9" w:history="1">
              <w:r w:rsidR="00FF1E6D">
                <w:rPr>
                  <w:rFonts w:ascii="Times New Roman" w:eastAsia="Times New Roman" w:hAnsi="Times New Roman" w:cs="Times New Roman"/>
                  <w:b/>
                  <w:bCs/>
                  <w:color w:val="000000"/>
                  <w:sz w:val="23"/>
                  <w:szCs w:val="23"/>
                  <w:lang w:val="en-US"/>
                </w:rPr>
                <w:t>disclosure.ru/portal/</w:t>
              </w:r>
              <w:proofErr w:type="spellStart"/>
              <w:r w:rsidR="00FF1E6D">
                <w:rPr>
                  <w:rFonts w:ascii="Times New Roman" w:eastAsia="Times New Roman" w:hAnsi="Times New Roman" w:cs="Times New Roman"/>
                  <w:b/>
                  <w:bCs/>
                  <w:color w:val="000000"/>
                  <w:sz w:val="23"/>
                  <w:szCs w:val="23"/>
                  <w:lang w:val="en-US"/>
                </w:rPr>
                <w:t>company.aspx?id</w:t>
              </w:r>
              <w:proofErr w:type="spellEnd"/>
              <w:r w:rsidR="00FF1E6D">
                <w:rPr>
                  <w:rFonts w:ascii="Times New Roman" w:eastAsia="Times New Roman" w:hAnsi="Times New Roman" w:cs="Times New Roman"/>
                  <w:b/>
                  <w:bCs/>
                  <w:color w:val="000000"/>
                  <w:sz w:val="23"/>
                  <w:szCs w:val="23"/>
                  <w:lang w:val="en-US"/>
                </w:rPr>
                <w:t>=11999</w:t>
              </w:r>
            </w:hyperlink>
          </w:p>
        </w:tc>
      </w:tr>
      <w:tr w:rsidR="00026C96" w:rsidTr="008A194F">
        <w:trPr>
          <w:trHeight w:val="298"/>
        </w:trPr>
        <w:tc>
          <w:tcPr>
            <w:tcW w:w="9063" w:type="dxa"/>
            <w:gridSpan w:val="4"/>
            <w:tcBorders>
              <w:top w:val="single" w:sz="4" w:space="0" w:color="auto"/>
              <w:left w:val="single" w:sz="4" w:space="0" w:color="auto"/>
              <w:bottom w:val="nil"/>
              <w:right w:val="single" w:sz="4" w:space="0" w:color="auto"/>
            </w:tcBorders>
            <w:shd w:val="clear" w:color="auto" w:fill="FFFFFF"/>
            <w:vAlign w:val="center"/>
          </w:tcPr>
          <w:p w:rsidR="008A194F" w:rsidRPr="008A194F" w:rsidRDefault="00FF1E6D" w:rsidP="008A194F">
            <w:pPr>
              <w:spacing w:after="0" w:line="230" w:lineRule="exact"/>
              <w:jc w:val="center"/>
              <w:rPr>
                <w:rFonts w:ascii="Times New Roman" w:eastAsia="Times New Roman" w:hAnsi="Times New Roman" w:cs="Times New Roman"/>
                <w:sz w:val="24"/>
                <w:szCs w:val="24"/>
                <w:lang w:eastAsia="ru-RU"/>
              </w:rPr>
            </w:pPr>
            <w:r w:rsidRPr="008A194F">
              <w:rPr>
                <w:rFonts w:ascii="Times New Roman" w:eastAsia="Times New Roman" w:hAnsi="Times New Roman" w:cs="Times New Roman"/>
                <w:color w:val="000000"/>
                <w:sz w:val="23"/>
                <w:szCs w:val="23"/>
                <w:lang w:val="en-US" w:eastAsia="ru-RU"/>
              </w:rPr>
              <w:t>2. Notice content</w:t>
            </w:r>
          </w:p>
        </w:tc>
      </w:tr>
      <w:tr w:rsidR="00026C96" w:rsidTr="008A194F">
        <w:trPr>
          <w:trHeight w:val="5804"/>
        </w:trPr>
        <w:tc>
          <w:tcPr>
            <w:tcW w:w="9063" w:type="dxa"/>
            <w:gridSpan w:val="4"/>
            <w:tcBorders>
              <w:top w:val="single" w:sz="4" w:space="0" w:color="auto"/>
              <w:left w:val="single" w:sz="4" w:space="0" w:color="auto"/>
              <w:right w:val="single" w:sz="4" w:space="0" w:color="auto"/>
            </w:tcBorders>
            <w:shd w:val="clear" w:color="auto" w:fill="FFFFFF"/>
          </w:tcPr>
          <w:p w:rsidR="008A194F" w:rsidRPr="00042488" w:rsidRDefault="00FF1E6D" w:rsidP="008A194F">
            <w:pPr>
              <w:spacing w:after="12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8A194F">
              <w:rPr>
                <w:rFonts w:ascii="Times New Roman" w:eastAsia="Times New Roman" w:hAnsi="Times New Roman" w:cs="Times New Roman"/>
                <w:b/>
                <w:bCs/>
                <w:i/>
                <w:iCs/>
                <w:color w:val="000000"/>
                <w:sz w:val="23"/>
                <w:szCs w:val="23"/>
                <w:lang w:val="en-US" w:eastAsia="ru-RU"/>
              </w:rPr>
              <w:t>10 out of 11 members of the Board of Directors participated in the meeting, a quorum is present.</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Voting results: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b/>
                <w:bCs/>
                <w:color w:val="000000"/>
                <w:sz w:val="23"/>
                <w:szCs w:val="23"/>
                <w:lang w:val="en-US" w:eastAsia="ru-RU"/>
              </w:rPr>
              <w:t xml:space="preserve">on issue No. 1 </w:t>
            </w:r>
            <w:r w:rsidRPr="008A194F">
              <w:rPr>
                <w:rFonts w:ascii="Times New Roman" w:eastAsia="Times New Roman" w:hAnsi="Times New Roman" w:cs="Times New Roman"/>
                <w:color w:val="000000"/>
                <w:sz w:val="23"/>
                <w:szCs w:val="23"/>
                <w:lang w:val="en-US" w:eastAsia="ru-RU"/>
              </w:rPr>
              <w:t>of the agenda:</w:t>
            </w:r>
          </w:p>
          <w:p w:rsidR="008A194F" w:rsidRPr="00042488" w:rsidRDefault="00FF1E6D" w:rsidP="008A194F">
            <w:pPr>
              <w:spacing w:after="0" w:line="240" w:lineRule="auto"/>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"PRO" is 9 votes;</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"CON" is 0 votes;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"ABSTAIN" is 1 vote;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b/>
                <w:bCs/>
                <w:color w:val="000000"/>
                <w:sz w:val="23"/>
                <w:szCs w:val="23"/>
                <w:lang w:val="en-US" w:eastAsia="ru-RU"/>
              </w:rPr>
              <w:t xml:space="preserve">on issue No. 2 </w:t>
            </w:r>
            <w:r w:rsidRPr="008A194F">
              <w:rPr>
                <w:rFonts w:ascii="Times New Roman" w:eastAsia="Times New Roman" w:hAnsi="Times New Roman" w:cs="Times New Roman"/>
                <w:color w:val="000000"/>
                <w:sz w:val="23"/>
                <w:szCs w:val="23"/>
                <w:lang w:val="en-US" w:eastAsia="ru-RU"/>
              </w:rPr>
              <w:t>of the agenda:</w:t>
            </w:r>
          </w:p>
          <w:p w:rsidR="008A194F" w:rsidRPr="00042488" w:rsidRDefault="00FF1E6D" w:rsidP="008A194F">
            <w:pPr>
              <w:spacing w:after="0" w:line="240" w:lineRule="auto"/>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"PRO" is 9 votes;</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"CON" is 0 votes;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"ABSTAIN" is 1 vote;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b/>
                <w:bCs/>
                <w:color w:val="000000"/>
                <w:sz w:val="23"/>
                <w:szCs w:val="23"/>
                <w:lang w:val="en-US" w:eastAsia="ru-RU"/>
              </w:rPr>
              <w:t xml:space="preserve">on issue No. 3 </w:t>
            </w:r>
            <w:r w:rsidRPr="008A194F">
              <w:rPr>
                <w:rFonts w:ascii="Times New Roman" w:eastAsia="Times New Roman" w:hAnsi="Times New Roman" w:cs="Times New Roman"/>
                <w:color w:val="000000"/>
                <w:sz w:val="23"/>
                <w:szCs w:val="23"/>
                <w:lang w:val="en-US" w:eastAsia="ru-RU"/>
              </w:rPr>
              <w:t>of the agenda:</w:t>
            </w:r>
          </w:p>
          <w:p w:rsidR="008A194F" w:rsidRPr="00042488" w:rsidRDefault="00FF1E6D" w:rsidP="008A194F">
            <w:pPr>
              <w:spacing w:after="0" w:line="240" w:lineRule="auto"/>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"PRO" is 10 votes;</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"CON" is 0 votes;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"ABSTAIN" is 0 votes; </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b/>
                <w:bCs/>
                <w:color w:val="000000"/>
                <w:sz w:val="23"/>
                <w:szCs w:val="23"/>
                <w:lang w:val="en-US" w:eastAsia="ru-RU"/>
              </w:rPr>
              <w:t xml:space="preserve">on issue No. 4 of the </w:t>
            </w:r>
            <w:r w:rsidRPr="008A194F">
              <w:rPr>
                <w:rFonts w:ascii="Times New Roman" w:eastAsia="Times New Roman" w:hAnsi="Times New Roman" w:cs="Times New Roman"/>
                <w:color w:val="000000"/>
                <w:sz w:val="23"/>
                <w:szCs w:val="23"/>
                <w:lang w:val="en-US" w:eastAsia="ru-RU"/>
              </w:rPr>
              <w:t>agenda:</w:t>
            </w:r>
          </w:p>
          <w:p w:rsidR="008A194F" w:rsidRPr="00042488" w:rsidRDefault="00FF1E6D" w:rsidP="008A194F">
            <w:pPr>
              <w:spacing w:after="0" w:line="240" w:lineRule="auto"/>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"PRO" is 9 votes;</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"CON" is 0 votes; </w:t>
            </w:r>
          </w:p>
          <w:p w:rsidR="008A194F" w:rsidRPr="008A194F" w:rsidRDefault="00FF1E6D" w:rsidP="008A194F">
            <w:pPr>
              <w:spacing w:after="0" w:line="240" w:lineRule="auto"/>
              <w:rPr>
                <w:rFonts w:ascii="Times New Roman" w:eastAsia="Times New Roman" w:hAnsi="Times New Roman" w:cs="Times New Roman"/>
                <w:sz w:val="24"/>
                <w:szCs w:val="24"/>
                <w:lang w:eastAsia="ru-RU"/>
              </w:rPr>
            </w:pPr>
            <w:r w:rsidRPr="008A194F">
              <w:rPr>
                <w:rFonts w:ascii="Times New Roman" w:eastAsia="Times New Roman" w:hAnsi="Times New Roman" w:cs="Times New Roman"/>
                <w:color w:val="000000"/>
                <w:sz w:val="23"/>
                <w:szCs w:val="23"/>
                <w:lang w:val="en-US" w:eastAsia="ru-RU"/>
              </w:rPr>
              <w:t>"ABSTAIN" is 1 vote.</w:t>
            </w:r>
          </w:p>
        </w:tc>
      </w:tr>
      <w:tr w:rsidR="00026C96" w:rsidRPr="00CB1252" w:rsidTr="008A194F">
        <w:trPr>
          <w:trHeight w:val="562"/>
        </w:trPr>
        <w:tc>
          <w:tcPr>
            <w:tcW w:w="9063" w:type="dxa"/>
            <w:gridSpan w:val="4"/>
            <w:tcBorders>
              <w:top w:val="single" w:sz="4" w:space="0" w:color="auto"/>
              <w:left w:val="single" w:sz="4" w:space="0" w:color="auto"/>
              <w:bottom w:val="nil"/>
              <w:right w:val="single" w:sz="4" w:space="0" w:color="auto"/>
            </w:tcBorders>
            <w:shd w:val="clear" w:color="auto" w:fill="FFFFFF"/>
            <w:vAlign w:val="center"/>
          </w:tcPr>
          <w:p w:rsidR="008A194F" w:rsidRPr="00042488" w:rsidRDefault="00FF1E6D" w:rsidP="008A194F">
            <w:pPr>
              <w:spacing w:after="0" w:line="240" w:lineRule="auto"/>
              <w:jc w:val="center"/>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b/>
                <w:bCs/>
                <w:color w:val="000000"/>
                <w:sz w:val="23"/>
                <w:szCs w:val="23"/>
                <w:lang w:val="en-US" w:eastAsia="ru-RU"/>
              </w:rPr>
              <w:t>Insider information disclosure on issue No. 1: "On approval of the Loan Plan of IDGC of the South, PJSC for the Q3 2018."</w:t>
            </w:r>
          </w:p>
        </w:tc>
      </w:tr>
      <w:tr w:rsidR="00026C96" w:rsidRPr="00CB1252">
        <w:trPr>
          <w:trHeight w:val="835"/>
        </w:trPr>
        <w:tc>
          <w:tcPr>
            <w:tcW w:w="9063" w:type="dxa"/>
            <w:gridSpan w:val="4"/>
            <w:tcBorders>
              <w:top w:val="single" w:sz="4" w:space="0" w:color="auto"/>
              <w:left w:val="single" w:sz="4" w:space="0" w:color="auto"/>
              <w:bottom w:val="nil"/>
              <w:right w:val="single" w:sz="4" w:space="0" w:color="auto"/>
            </w:tcBorders>
            <w:shd w:val="clear" w:color="auto" w:fill="FFFFFF"/>
            <w:vAlign w:val="bottom"/>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2.2.1. Resolution content adopted by the Issuer's Board of Directors:</w:t>
            </w:r>
          </w:p>
          <w:p w:rsidR="008A194F" w:rsidRPr="00042488" w:rsidRDefault="00FF1E6D" w:rsidP="008A194F">
            <w:pPr>
              <w:spacing w:after="0" w:line="240" w:lineRule="auto"/>
              <w:ind w:firstLine="142"/>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Approve the Loan Plan of IDGC of the South, PJSC for the Q1 2018 in accordance with Annex No. 4 to this resolution of the Company's Board of Directors.</w:t>
            </w:r>
          </w:p>
        </w:tc>
      </w:tr>
      <w:tr w:rsidR="00026C96" w:rsidRPr="00CB1252">
        <w:trPr>
          <w:trHeight w:val="840"/>
        </w:trPr>
        <w:tc>
          <w:tcPr>
            <w:tcW w:w="9063" w:type="dxa"/>
            <w:gridSpan w:val="4"/>
            <w:tcBorders>
              <w:top w:val="single" w:sz="4" w:space="0" w:color="auto"/>
              <w:left w:val="single" w:sz="4" w:space="0" w:color="auto"/>
              <w:bottom w:val="nil"/>
              <w:right w:val="single" w:sz="4" w:space="0" w:color="auto"/>
            </w:tcBorders>
            <w:shd w:val="clear" w:color="auto" w:fill="FFFFFF"/>
            <w:vAlign w:val="bottom"/>
          </w:tcPr>
          <w:p w:rsidR="008A194F" w:rsidRPr="00042488" w:rsidRDefault="00FF1E6D" w:rsidP="008A194F">
            <w:pPr>
              <w:spacing w:after="0" w:line="240" w:lineRule="auto"/>
              <w:jc w:val="center"/>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b/>
                <w:bCs/>
                <w:color w:val="000000"/>
                <w:sz w:val="23"/>
                <w:szCs w:val="23"/>
                <w:lang w:val="en-US" w:eastAsia="ru-RU"/>
              </w:rPr>
              <w:t>Insider information disclosure on issue No. 2: "On implementation of the Program of Innovative Development of IDGC of the South, PJSC for the period of 2016-2020</w:t>
            </w:r>
          </w:p>
          <w:p w:rsidR="008A194F" w:rsidRPr="00042488" w:rsidRDefault="00042488" w:rsidP="008A19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3"/>
                <w:szCs w:val="23"/>
                <w:lang w:val="en-US" w:eastAsia="ru-RU"/>
              </w:rPr>
              <w:t>with a vi</w:t>
            </w:r>
            <w:r w:rsidRPr="00042488">
              <w:rPr>
                <w:rFonts w:ascii="Times New Roman" w:eastAsia="Times New Roman" w:hAnsi="Times New Roman" w:cs="Times New Roman"/>
                <w:b/>
                <w:bCs/>
                <w:color w:val="000000"/>
                <w:sz w:val="23"/>
                <w:szCs w:val="23"/>
                <w:lang w:val="en-US" w:eastAsia="ru-RU"/>
              </w:rPr>
              <w:t>sion</w:t>
            </w:r>
            <w:r w:rsidR="00FF1E6D" w:rsidRPr="008A194F">
              <w:rPr>
                <w:rFonts w:ascii="Times New Roman" w:eastAsia="Times New Roman" w:hAnsi="Times New Roman" w:cs="Times New Roman"/>
                <w:b/>
                <w:bCs/>
                <w:color w:val="000000"/>
                <w:sz w:val="23"/>
                <w:szCs w:val="23"/>
                <w:lang w:val="en-US" w:eastAsia="ru-RU"/>
              </w:rPr>
              <w:t xml:space="preserve"> to 2025 for 2017."</w:t>
            </w:r>
          </w:p>
        </w:tc>
      </w:tr>
      <w:tr w:rsidR="00026C96" w:rsidRPr="00CB1252">
        <w:trPr>
          <w:trHeight w:val="826"/>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A194F" w:rsidRPr="00042488" w:rsidRDefault="00FF1E6D" w:rsidP="008A194F">
            <w:pPr>
              <w:spacing w:after="0" w:line="240" w:lineRule="auto"/>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2.2.2. Resolution content adopted by the Issuer's Board of Directors:</w:t>
            </w:r>
          </w:p>
          <w:p w:rsidR="008A194F" w:rsidRPr="00042488" w:rsidRDefault="00FF1E6D" w:rsidP="008A194F">
            <w:pPr>
              <w:spacing w:after="0" w:line="240" w:lineRule="auto"/>
              <w:ind w:firstLine="284"/>
              <w:jc w:val="both"/>
              <w:rPr>
                <w:rFonts w:ascii="Times New Roman" w:eastAsia="Times New Roman" w:hAnsi="Times New Roman" w:cs="Times New Roman"/>
                <w:sz w:val="24"/>
                <w:szCs w:val="24"/>
                <w:lang w:val="en-US" w:eastAsia="ru-RU"/>
              </w:rPr>
            </w:pPr>
            <w:r w:rsidRPr="008A194F">
              <w:rPr>
                <w:rFonts w:ascii="Times New Roman" w:eastAsia="Times New Roman" w:hAnsi="Times New Roman" w:cs="Times New Roman"/>
                <w:color w:val="000000"/>
                <w:sz w:val="23"/>
                <w:szCs w:val="23"/>
                <w:lang w:val="en-US" w:eastAsia="ru-RU"/>
              </w:rPr>
              <w:t>1. Approve the report on the implementation of the Program of Innovative Development of IDGC of the South, PJSC for the period of 2016-2020 with a view to 2025 in 2017 in</w:t>
            </w:r>
          </w:p>
        </w:tc>
      </w:tr>
      <w:tr w:rsidR="00026C96" w:rsidRPr="00CB1252" w:rsidTr="008A194F">
        <w:trPr>
          <w:trHeight w:val="826"/>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A194F" w:rsidRPr="00042488" w:rsidRDefault="00FF1E6D" w:rsidP="008A194F">
            <w:pPr>
              <w:spacing w:after="0" w:line="240" w:lineRule="auto"/>
              <w:jc w:val="both"/>
              <w:rPr>
                <w:rFonts w:ascii="Times New Roman" w:eastAsia="Times New Roman" w:hAnsi="Times New Roman" w:cs="Times New Roman"/>
                <w:color w:val="000000"/>
                <w:sz w:val="23"/>
                <w:szCs w:val="23"/>
                <w:lang w:val="en-US" w:eastAsia="ru-RU"/>
              </w:rPr>
            </w:pPr>
            <w:proofErr w:type="gramStart"/>
            <w:r w:rsidRPr="008A194F">
              <w:rPr>
                <w:rFonts w:ascii="Times New Roman" w:eastAsia="Times New Roman" w:hAnsi="Times New Roman" w:cs="Times New Roman"/>
                <w:color w:val="000000"/>
                <w:sz w:val="23"/>
                <w:szCs w:val="23"/>
                <w:lang w:val="en-US" w:eastAsia="ru-RU"/>
              </w:rPr>
              <w:lastRenderedPageBreak/>
              <w:t>accordance</w:t>
            </w:r>
            <w:proofErr w:type="gramEnd"/>
            <w:r w:rsidRPr="008A194F">
              <w:rPr>
                <w:rFonts w:ascii="Times New Roman" w:eastAsia="Times New Roman" w:hAnsi="Times New Roman" w:cs="Times New Roman"/>
                <w:color w:val="000000"/>
                <w:sz w:val="23"/>
                <w:szCs w:val="23"/>
                <w:lang w:val="en-US" w:eastAsia="ru-RU"/>
              </w:rPr>
              <w:t xml:space="preserve"> with Annex 2 to this resolution of the Company's Board of Directors.</w:t>
            </w:r>
          </w:p>
          <w:p w:rsidR="008A194F" w:rsidRPr="00042488" w:rsidRDefault="00FF1E6D" w:rsidP="008A194F">
            <w:pPr>
              <w:spacing w:after="0" w:line="240" w:lineRule="auto"/>
              <w:ind w:firstLine="709"/>
              <w:jc w:val="both"/>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2. Note deviations from the planned parameters of the program of innovative development of IDGC of the South, PJSC in 2017, including measures regarding the transition to digital active-adaptive networks with distributed intellectual system of automation and control, application of new technologies and materials in the electric power industry and development of charging infrastructure for electric transport.</w:t>
            </w:r>
          </w:p>
          <w:p w:rsidR="008A194F" w:rsidRPr="00042488" w:rsidRDefault="00FF1E6D" w:rsidP="008A194F">
            <w:pPr>
              <w:spacing w:after="0" w:line="240" w:lineRule="auto"/>
              <w:ind w:firstLine="709"/>
              <w:jc w:val="both"/>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3. Instruct the Company's General Director to submit a report to the regular meeting of the Company's Board of Directors on measures taken to prevent such deviations in the implementation of the Program for Innovative Development of IDGC of the South, PJSC in 2018.</w:t>
            </w:r>
          </w:p>
        </w:tc>
      </w:tr>
      <w:tr w:rsidR="00026C96" w:rsidRPr="00CB1252" w:rsidTr="008A194F">
        <w:trPr>
          <w:trHeight w:val="826"/>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194F" w:rsidRPr="00042488" w:rsidRDefault="00FF1E6D" w:rsidP="008A194F">
            <w:pPr>
              <w:spacing w:after="0" w:line="240" w:lineRule="auto"/>
              <w:jc w:val="center"/>
              <w:rPr>
                <w:rFonts w:ascii="Times New Roman" w:eastAsia="Times New Roman" w:hAnsi="Times New Roman" w:cs="Times New Roman"/>
                <w:b/>
                <w:color w:val="000000"/>
                <w:sz w:val="23"/>
                <w:szCs w:val="23"/>
                <w:lang w:val="en-US" w:eastAsia="ru-RU"/>
              </w:rPr>
            </w:pPr>
            <w:r w:rsidRPr="008A194F">
              <w:rPr>
                <w:rFonts w:ascii="Times New Roman" w:eastAsia="Times New Roman" w:hAnsi="Times New Roman" w:cs="Times New Roman"/>
                <w:b/>
                <w:color w:val="000000"/>
                <w:sz w:val="23"/>
                <w:szCs w:val="23"/>
                <w:lang w:val="en-US" w:eastAsia="ru-RU"/>
              </w:rPr>
              <w:t>Insider information disclosure on issue No. 3: "On implementation of paragraph 3 of the decision of the Company's Board of Directors on issue No. 2 (Minutes No. 273/2018 dated May 25, 2018) "On approval of the report on the results of the Company's investment program for 2017"."</w:t>
            </w:r>
          </w:p>
        </w:tc>
      </w:tr>
      <w:tr w:rsidR="00026C96" w:rsidRPr="00CB1252" w:rsidTr="008A194F">
        <w:trPr>
          <w:trHeight w:val="826"/>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A194F" w:rsidRPr="00042488" w:rsidRDefault="00FF1E6D" w:rsidP="008A194F">
            <w:pPr>
              <w:spacing w:after="0" w:line="240" w:lineRule="auto"/>
              <w:jc w:val="both"/>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2.2.3. Resolution content adopted by the Issuer's Board of Directors:</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1. Take note of the explanations on deviations from the planned parameters of the approved investment program of IDGC of the South, PJSC based on the results of 2017, and the report of the General Director on measures taken to prevent such deviations during the implementation of the investment program of the Company in 2018, as per Annex No. 3 hereto.</w:t>
            </w:r>
          </w:p>
          <w:p w:rsidR="008A194F" w:rsidRPr="00042488" w:rsidRDefault="00FF1E6D" w:rsidP="008A194F">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2. Consider the instruction of the Company's Board of Directors in the part of paragraph 3. </w:t>
            </w:r>
            <w:proofErr w:type="gramStart"/>
            <w:r w:rsidRPr="008A194F">
              <w:rPr>
                <w:rFonts w:ascii="Times New Roman" w:eastAsia="Times New Roman" w:hAnsi="Times New Roman" w:cs="Times New Roman"/>
                <w:color w:val="000000"/>
                <w:sz w:val="23"/>
                <w:szCs w:val="23"/>
                <w:lang w:val="en-US" w:eastAsia="ru-RU"/>
              </w:rPr>
              <w:t>on</w:t>
            </w:r>
            <w:proofErr w:type="gramEnd"/>
            <w:r w:rsidRPr="008A194F">
              <w:rPr>
                <w:rFonts w:ascii="Times New Roman" w:eastAsia="Times New Roman" w:hAnsi="Times New Roman" w:cs="Times New Roman"/>
                <w:color w:val="000000"/>
                <w:sz w:val="23"/>
                <w:szCs w:val="23"/>
                <w:lang w:val="en-US" w:eastAsia="ru-RU"/>
              </w:rPr>
              <w:t xml:space="preserve"> issue No. 2 (Minutes No. 273/2018 dated May 25, 2018).</w:t>
            </w:r>
          </w:p>
        </w:tc>
      </w:tr>
      <w:tr w:rsidR="00026C96" w:rsidRPr="00CB1252" w:rsidTr="008A194F">
        <w:trPr>
          <w:trHeight w:val="653"/>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194F" w:rsidRPr="00042488" w:rsidRDefault="00FF1E6D" w:rsidP="008A194F">
            <w:pPr>
              <w:spacing w:after="0" w:line="240" w:lineRule="auto"/>
              <w:jc w:val="center"/>
              <w:rPr>
                <w:rFonts w:ascii="Times New Roman" w:eastAsia="Times New Roman" w:hAnsi="Times New Roman" w:cs="Times New Roman"/>
                <w:b/>
                <w:color w:val="000000"/>
                <w:sz w:val="23"/>
                <w:szCs w:val="23"/>
                <w:lang w:val="en-US" w:eastAsia="ru-RU"/>
              </w:rPr>
            </w:pPr>
            <w:r w:rsidRPr="008A194F">
              <w:rPr>
                <w:rFonts w:ascii="Times New Roman" w:eastAsia="Times New Roman" w:hAnsi="Times New Roman" w:cs="Times New Roman"/>
                <w:b/>
                <w:color w:val="000000"/>
                <w:sz w:val="23"/>
                <w:szCs w:val="23"/>
                <w:lang w:val="en-US" w:eastAsia="ru-RU"/>
              </w:rPr>
              <w:t>Insider information disclosure on issue No. 4: "On determining the amount of payment for the services of the auditor of IDGC of the South, PJSC."</w:t>
            </w:r>
          </w:p>
        </w:tc>
      </w:tr>
      <w:tr w:rsidR="00026C96" w:rsidRPr="00CB1252" w:rsidTr="008A194F">
        <w:trPr>
          <w:trHeight w:val="826"/>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A194F" w:rsidRPr="00042488" w:rsidRDefault="00FF1E6D" w:rsidP="008A194F">
            <w:pPr>
              <w:spacing w:after="0" w:line="240" w:lineRule="auto"/>
              <w:ind w:firstLine="709"/>
              <w:jc w:val="both"/>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2.2.4. Resolution content adopted by the Issuer's Board of Directors:</w:t>
            </w:r>
          </w:p>
          <w:p w:rsidR="008A194F" w:rsidRPr="00042488" w:rsidRDefault="00FF1E6D" w:rsidP="008A194F">
            <w:pPr>
              <w:spacing w:after="0" w:line="240" w:lineRule="auto"/>
              <w:ind w:firstLine="709"/>
              <w:jc w:val="both"/>
              <w:rPr>
                <w:rFonts w:ascii="Times New Roman" w:eastAsia="Times New Roman" w:hAnsi="Times New Roman" w:cs="Times New Roman"/>
                <w:color w:val="000000"/>
                <w:sz w:val="23"/>
                <w:szCs w:val="23"/>
                <w:lang w:val="en-US" w:eastAsia="ru-RU"/>
              </w:rPr>
            </w:pPr>
            <w:proofErr w:type="gramStart"/>
            <w:r w:rsidRPr="008A194F">
              <w:rPr>
                <w:rFonts w:ascii="Times New Roman" w:eastAsia="Times New Roman" w:hAnsi="Times New Roman" w:cs="Times New Roman"/>
                <w:color w:val="000000"/>
                <w:sz w:val="23"/>
                <w:szCs w:val="23"/>
                <w:lang w:val="en-US" w:eastAsia="ru-RU"/>
              </w:rPr>
              <w:t>Determine the amount of payment for the services of the auditor of IDGC of the South, PJSC - Ernst &amp; Young, LLC, under the contract on rendering audit services for the audit of the financial statements prepared in accordance with RAS and for the audit of the consolidated financial statements prepared in accordance with IFRS for the year ending December 31, 2018 (audit period from January 1, 2018, to December 31, 2018), at the rate of 2,743,640.99 (two million seven hundred and forty-three thousand and six hundred and forty robles and 99 kopecks), including VAT (18%).</w:t>
            </w:r>
            <w:proofErr w:type="gramEnd"/>
          </w:p>
        </w:tc>
      </w:tr>
      <w:tr w:rsidR="00026C96" w:rsidRPr="00CB1252" w:rsidTr="008A194F">
        <w:trPr>
          <w:trHeight w:val="826"/>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A194F" w:rsidRPr="00042488" w:rsidRDefault="00FF1E6D" w:rsidP="005E158A">
            <w:pPr>
              <w:spacing w:after="0" w:line="240" w:lineRule="auto"/>
              <w:jc w:val="both"/>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t>
            </w:r>
            <w:proofErr w:type="gramStart"/>
            <w:r w:rsidRPr="008A194F">
              <w:rPr>
                <w:rFonts w:ascii="Times New Roman" w:eastAsia="Times New Roman" w:hAnsi="Times New Roman" w:cs="Times New Roman"/>
                <w:color w:val="000000"/>
                <w:sz w:val="23"/>
                <w:szCs w:val="23"/>
                <w:lang w:val="en-US" w:eastAsia="ru-RU"/>
              </w:rPr>
              <w:t>were adopted</w:t>
            </w:r>
            <w:proofErr w:type="gramEnd"/>
            <w:r w:rsidRPr="008A194F">
              <w:rPr>
                <w:rFonts w:ascii="Times New Roman" w:eastAsia="Times New Roman" w:hAnsi="Times New Roman" w:cs="Times New Roman"/>
                <w:color w:val="000000"/>
                <w:sz w:val="23"/>
                <w:szCs w:val="23"/>
                <w:lang w:val="en-US" w:eastAsia="ru-RU"/>
              </w:rPr>
              <w:t xml:space="preserve">: </w:t>
            </w:r>
            <w:r w:rsidRPr="008A194F">
              <w:rPr>
                <w:rFonts w:ascii="Times New Roman" w:eastAsia="Times New Roman" w:hAnsi="Times New Roman" w:cs="Times New Roman"/>
                <w:b/>
                <w:i/>
                <w:color w:val="000000"/>
                <w:sz w:val="23"/>
                <w:szCs w:val="23"/>
                <w:lang w:val="en-US" w:eastAsia="ru-RU"/>
              </w:rPr>
              <w:t>June 29, 2018.</w:t>
            </w:r>
          </w:p>
          <w:p w:rsidR="008A194F" w:rsidRPr="00042488" w:rsidRDefault="00FF1E6D" w:rsidP="005E158A">
            <w:pPr>
              <w:spacing w:after="0" w:line="240" w:lineRule="auto"/>
              <w:jc w:val="both"/>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t>
            </w:r>
            <w:proofErr w:type="gramStart"/>
            <w:r w:rsidRPr="008A194F">
              <w:rPr>
                <w:rFonts w:ascii="Times New Roman" w:eastAsia="Times New Roman" w:hAnsi="Times New Roman" w:cs="Times New Roman"/>
                <w:color w:val="000000"/>
                <w:sz w:val="23"/>
                <w:szCs w:val="23"/>
                <w:lang w:val="en-US" w:eastAsia="ru-RU"/>
              </w:rPr>
              <w:t>were adopted</w:t>
            </w:r>
            <w:proofErr w:type="gramEnd"/>
            <w:r w:rsidRPr="008A194F">
              <w:rPr>
                <w:rFonts w:ascii="Times New Roman" w:eastAsia="Times New Roman" w:hAnsi="Times New Roman" w:cs="Times New Roman"/>
                <w:color w:val="000000"/>
                <w:sz w:val="23"/>
                <w:szCs w:val="23"/>
                <w:lang w:val="en-US" w:eastAsia="ru-RU"/>
              </w:rPr>
              <w:t xml:space="preserve">: </w:t>
            </w:r>
            <w:r w:rsidRPr="008A194F">
              <w:rPr>
                <w:rFonts w:ascii="Times New Roman" w:eastAsia="Times New Roman" w:hAnsi="Times New Roman" w:cs="Times New Roman"/>
                <w:b/>
                <w:i/>
                <w:color w:val="000000"/>
                <w:sz w:val="23"/>
                <w:szCs w:val="23"/>
                <w:lang w:val="en-US" w:eastAsia="ru-RU"/>
              </w:rPr>
              <w:t>July 2, 2018, Minutes No. 279/2018.</w:t>
            </w:r>
          </w:p>
        </w:tc>
      </w:tr>
      <w:tr w:rsidR="00026C96" w:rsidTr="005E158A">
        <w:trPr>
          <w:trHeight w:val="198"/>
        </w:trPr>
        <w:tc>
          <w:tcPr>
            <w:tcW w:w="90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A194F" w:rsidRPr="008A194F" w:rsidRDefault="00FF1E6D" w:rsidP="005E158A">
            <w:pPr>
              <w:spacing w:after="0" w:line="240" w:lineRule="auto"/>
              <w:jc w:val="center"/>
              <w:rPr>
                <w:rFonts w:ascii="Times New Roman" w:eastAsia="Times New Roman" w:hAnsi="Times New Roman" w:cs="Times New Roman"/>
                <w:color w:val="000000"/>
                <w:sz w:val="23"/>
                <w:szCs w:val="23"/>
                <w:lang w:eastAsia="ru-RU"/>
              </w:rPr>
            </w:pPr>
            <w:r w:rsidRPr="008A194F">
              <w:rPr>
                <w:rFonts w:ascii="Times New Roman" w:eastAsia="Times New Roman" w:hAnsi="Times New Roman" w:cs="Times New Roman"/>
                <w:color w:val="000000"/>
                <w:sz w:val="23"/>
                <w:szCs w:val="23"/>
                <w:lang w:val="en-US" w:eastAsia="ru-RU"/>
              </w:rPr>
              <w:t>3. Signature</w:t>
            </w:r>
          </w:p>
        </w:tc>
      </w:tr>
      <w:tr w:rsidR="00026C96" w:rsidTr="005E158A">
        <w:trPr>
          <w:trHeight w:val="513"/>
        </w:trPr>
        <w:tc>
          <w:tcPr>
            <w:tcW w:w="5284" w:type="dxa"/>
            <w:gridSpan w:val="2"/>
            <w:vMerge w:val="restart"/>
            <w:tcBorders>
              <w:top w:val="single" w:sz="4" w:space="0" w:color="auto"/>
              <w:left w:val="single" w:sz="4" w:space="0" w:color="auto"/>
            </w:tcBorders>
            <w:shd w:val="clear" w:color="auto" w:fill="FFFFFF"/>
            <w:vAlign w:val="center"/>
          </w:tcPr>
          <w:p w:rsidR="005E158A" w:rsidRPr="00042488" w:rsidRDefault="00FF1E6D" w:rsidP="005E158A">
            <w:pPr>
              <w:spacing w:after="0" w:line="240" w:lineRule="auto"/>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3.1. Head of Department – </w:t>
            </w:r>
          </w:p>
          <w:p w:rsidR="005E158A" w:rsidRPr="00042488" w:rsidRDefault="00FF1E6D" w:rsidP="005E158A">
            <w:pPr>
              <w:spacing w:after="0" w:line="240" w:lineRule="auto"/>
              <w:ind w:firstLine="426"/>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 xml:space="preserve">Corporate Secretary </w:t>
            </w:r>
          </w:p>
          <w:p w:rsidR="005E158A" w:rsidRPr="00042488" w:rsidRDefault="00FF1E6D" w:rsidP="005E158A">
            <w:pPr>
              <w:spacing w:after="120" w:line="240" w:lineRule="auto"/>
              <w:ind w:firstLine="425"/>
              <w:rPr>
                <w:rFonts w:ascii="Times New Roman" w:eastAsia="Times New Roman" w:hAnsi="Times New Roman" w:cs="Times New Roman"/>
                <w:color w:val="000000"/>
                <w:sz w:val="23"/>
                <w:szCs w:val="23"/>
                <w:lang w:val="en-US" w:eastAsia="ru-RU"/>
              </w:rPr>
            </w:pPr>
            <w:r w:rsidRPr="008A194F">
              <w:rPr>
                <w:rFonts w:ascii="Times New Roman" w:eastAsia="Times New Roman" w:hAnsi="Times New Roman" w:cs="Times New Roman"/>
                <w:color w:val="000000"/>
                <w:sz w:val="23"/>
                <w:szCs w:val="23"/>
                <w:lang w:val="en-US" w:eastAsia="ru-RU"/>
              </w:rPr>
              <w:t>(under power of attorney No. 103-18 on behalf of January 10, 2018)</w:t>
            </w:r>
          </w:p>
          <w:p w:rsidR="005E158A" w:rsidRPr="008A194F" w:rsidRDefault="00FF1E6D" w:rsidP="005E158A">
            <w:pPr>
              <w:spacing w:after="0" w:line="240" w:lineRule="auto"/>
              <w:rPr>
                <w:rFonts w:ascii="Times New Roman" w:eastAsia="Times New Roman" w:hAnsi="Times New Roman" w:cs="Times New Roman"/>
                <w:color w:val="000000"/>
                <w:sz w:val="23"/>
                <w:szCs w:val="23"/>
                <w:lang w:eastAsia="ru-RU"/>
              </w:rPr>
            </w:pPr>
            <w:r w:rsidRPr="008A194F">
              <w:rPr>
                <w:rFonts w:ascii="Times New Roman" w:eastAsia="Times New Roman" w:hAnsi="Times New Roman" w:cs="Times New Roman"/>
                <w:color w:val="000000"/>
                <w:sz w:val="23"/>
                <w:szCs w:val="23"/>
                <w:lang w:val="en-US" w:eastAsia="ru-RU"/>
              </w:rPr>
              <w:t>3.2. Date July "02", 2018</w:t>
            </w:r>
          </w:p>
        </w:tc>
        <w:tc>
          <w:tcPr>
            <w:tcW w:w="1662" w:type="dxa"/>
            <w:tcBorders>
              <w:top w:val="single" w:sz="4" w:space="0" w:color="auto"/>
              <w:bottom w:val="single" w:sz="4" w:space="0" w:color="auto"/>
            </w:tcBorders>
            <w:shd w:val="clear" w:color="auto" w:fill="FFFFFF"/>
            <w:vAlign w:val="bottom"/>
          </w:tcPr>
          <w:p w:rsidR="005E158A" w:rsidRPr="008A194F" w:rsidRDefault="00CB1252" w:rsidP="008A194F">
            <w:pPr>
              <w:spacing w:after="0" w:line="240" w:lineRule="auto"/>
              <w:jc w:val="both"/>
              <w:rPr>
                <w:rFonts w:ascii="Times New Roman" w:eastAsia="Times New Roman" w:hAnsi="Times New Roman" w:cs="Times New Roman"/>
                <w:color w:val="000000"/>
                <w:sz w:val="23"/>
                <w:szCs w:val="23"/>
                <w:lang w:eastAsia="ru-RU"/>
              </w:rPr>
            </w:pPr>
          </w:p>
        </w:tc>
        <w:tc>
          <w:tcPr>
            <w:tcW w:w="2117" w:type="dxa"/>
            <w:tcBorders>
              <w:top w:val="single" w:sz="4" w:space="0" w:color="auto"/>
              <w:right w:val="single" w:sz="4" w:space="0" w:color="auto"/>
            </w:tcBorders>
            <w:shd w:val="clear" w:color="auto" w:fill="FFFFFF"/>
            <w:vAlign w:val="bottom"/>
          </w:tcPr>
          <w:p w:rsidR="005E158A" w:rsidRPr="008A194F" w:rsidRDefault="00FF1E6D" w:rsidP="008A194F">
            <w:pPr>
              <w:spacing w:after="0" w:line="240" w:lineRule="auto"/>
              <w:jc w:val="both"/>
              <w:rPr>
                <w:rFonts w:ascii="Times New Roman" w:eastAsia="Times New Roman" w:hAnsi="Times New Roman" w:cs="Times New Roman"/>
                <w:color w:val="000000"/>
                <w:sz w:val="23"/>
                <w:szCs w:val="23"/>
                <w:lang w:eastAsia="ru-RU"/>
              </w:rPr>
            </w:pPr>
            <w:r w:rsidRPr="008A194F">
              <w:rPr>
                <w:rFonts w:ascii="Times New Roman" w:eastAsia="Times New Roman" w:hAnsi="Times New Roman" w:cs="Times New Roman"/>
                <w:color w:val="000000"/>
                <w:sz w:val="23"/>
                <w:szCs w:val="23"/>
                <w:lang w:val="en-US" w:eastAsia="ru-RU"/>
              </w:rPr>
              <w:t>Pavlova E.N.</w:t>
            </w:r>
          </w:p>
        </w:tc>
      </w:tr>
      <w:tr w:rsidR="00026C96" w:rsidTr="005E158A">
        <w:trPr>
          <w:trHeight w:val="200"/>
        </w:trPr>
        <w:tc>
          <w:tcPr>
            <w:tcW w:w="5284" w:type="dxa"/>
            <w:gridSpan w:val="2"/>
            <w:vMerge/>
            <w:tcBorders>
              <w:left w:val="single" w:sz="4" w:space="0" w:color="auto"/>
            </w:tcBorders>
            <w:shd w:val="clear" w:color="auto" w:fill="FFFFFF"/>
            <w:vAlign w:val="bottom"/>
          </w:tcPr>
          <w:p w:rsidR="005E158A" w:rsidRPr="008A194F" w:rsidRDefault="00CB1252" w:rsidP="008A194F">
            <w:pPr>
              <w:spacing w:after="0" w:line="240" w:lineRule="auto"/>
              <w:jc w:val="both"/>
              <w:rPr>
                <w:rFonts w:ascii="Times New Roman" w:eastAsia="Times New Roman" w:hAnsi="Times New Roman" w:cs="Times New Roman"/>
                <w:color w:val="000000"/>
                <w:sz w:val="23"/>
                <w:szCs w:val="23"/>
                <w:lang w:eastAsia="ru-RU"/>
              </w:rPr>
            </w:pPr>
          </w:p>
        </w:tc>
        <w:tc>
          <w:tcPr>
            <w:tcW w:w="1662" w:type="dxa"/>
            <w:tcBorders>
              <w:top w:val="single" w:sz="4" w:space="0" w:color="auto"/>
            </w:tcBorders>
            <w:shd w:val="clear" w:color="auto" w:fill="FFFFFF"/>
            <w:vAlign w:val="center"/>
          </w:tcPr>
          <w:p w:rsidR="005E158A" w:rsidRPr="008A194F" w:rsidRDefault="00FF1E6D" w:rsidP="005E158A">
            <w:pPr>
              <w:spacing w:after="0" w:line="240" w:lineRule="auto"/>
              <w:jc w:val="center"/>
              <w:rPr>
                <w:rFonts w:ascii="Times New Roman" w:eastAsia="Times New Roman" w:hAnsi="Times New Roman" w:cs="Times New Roman"/>
                <w:color w:val="000000"/>
                <w:sz w:val="23"/>
                <w:szCs w:val="23"/>
                <w:lang w:eastAsia="ru-RU"/>
              </w:rPr>
            </w:pPr>
            <w:r w:rsidRPr="008A194F">
              <w:rPr>
                <w:rFonts w:ascii="Times New Roman" w:eastAsia="Times New Roman" w:hAnsi="Times New Roman" w:cs="Times New Roman"/>
                <w:color w:val="000000"/>
                <w:sz w:val="23"/>
                <w:szCs w:val="23"/>
                <w:lang w:val="en-US" w:eastAsia="ru-RU"/>
              </w:rPr>
              <w:t>(signature)</w:t>
            </w:r>
          </w:p>
        </w:tc>
        <w:tc>
          <w:tcPr>
            <w:tcW w:w="2117" w:type="dxa"/>
            <w:tcBorders>
              <w:right w:val="single" w:sz="4" w:space="0" w:color="auto"/>
            </w:tcBorders>
            <w:shd w:val="clear" w:color="auto" w:fill="FFFFFF"/>
            <w:vAlign w:val="bottom"/>
          </w:tcPr>
          <w:p w:rsidR="005E158A" w:rsidRPr="008A194F" w:rsidRDefault="00CB1252" w:rsidP="008A194F">
            <w:pPr>
              <w:spacing w:after="0" w:line="240" w:lineRule="auto"/>
              <w:jc w:val="both"/>
              <w:rPr>
                <w:rFonts w:ascii="Times New Roman" w:eastAsia="Times New Roman" w:hAnsi="Times New Roman" w:cs="Times New Roman"/>
                <w:color w:val="000000"/>
                <w:sz w:val="23"/>
                <w:szCs w:val="23"/>
                <w:lang w:eastAsia="ru-RU"/>
              </w:rPr>
            </w:pPr>
          </w:p>
        </w:tc>
      </w:tr>
      <w:tr w:rsidR="00026C96" w:rsidTr="005E158A">
        <w:trPr>
          <w:trHeight w:val="927"/>
        </w:trPr>
        <w:tc>
          <w:tcPr>
            <w:tcW w:w="5284" w:type="dxa"/>
            <w:gridSpan w:val="2"/>
            <w:vMerge/>
            <w:tcBorders>
              <w:left w:val="single" w:sz="4" w:space="0" w:color="auto"/>
              <w:bottom w:val="single" w:sz="4" w:space="0" w:color="auto"/>
            </w:tcBorders>
            <w:shd w:val="clear" w:color="auto" w:fill="FFFFFF"/>
            <w:vAlign w:val="bottom"/>
          </w:tcPr>
          <w:p w:rsidR="005E158A" w:rsidRPr="008A194F" w:rsidRDefault="00CB1252" w:rsidP="008A194F">
            <w:pPr>
              <w:spacing w:after="0" w:line="240" w:lineRule="auto"/>
              <w:jc w:val="both"/>
              <w:rPr>
                <w:rFonts w:ascii="Times New Roman" w:eastAsia="Times New Roman" w:hAnsi="Times New Roman" w:cs="Times New Roman"/>
                <w:color w:val="000000"/>
                <w:sz w:val="23"/>
                <w:szCs w:val="23"/>
                <w:lang w:eastAsia="ru-RU"/>
              </w:rPr>
            </w:pPr>
          </w:p>
        </w:tc>
        <w:tc>
          <w:tcPr>
            <w:tcW w:w="1662" w:type="dxa"/>
            <w:tcBorders>
              <w:bottom w:val="single" w:sz="4" w:space="0" w:color="auto"/>
            </w:tcBorders>
            <w:shd w:val="clear" w:color="auto" w:fill="FFFFFF"/>
            <w:vAlign w:val="center"/>
          </w:tcPr>
          <w:p w:rsidR="005E158A" w:rsidRPr="008A194F" w:rsidRDefault="00CB1252" w:rsidP="005E158A">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2117" w:type="dxa"/>
            <w:tcBorders>
              <w:bottom w:val="single" w:sz="4" w:space="0" w:color="auto"/>
              <w:right w:val="single" w:sz="4" w:space="0" w:color="auto"/>
            </w:tcBorders>
            <w:shd w:val="clear" w:color="auto" w:fill="FFFFFF"/>
            <w:vAlign w:val="bottom"/>
          </w:tcPr>
          <w:p w:rsidR="005E158A" w:rsidRPr="008A194F" w:rsidRDefault="00CB1252" w:rsidP="008A194F">
            <w:pPr>
              <w:spacing w:after="0" w:line="240" w:lineRule="auto"/>
              <w:jc w:val="both"/>
              <w:rPr>
                <w:rFonts w:ascii="Times New Roman" w:eastAsia="Times New Roman" w:hAnsi="Times New Roman" w:cs="Times New Roman"/>
                <w:color w:val="000000"/>
                <w:sz w:val="23"/>
                <w:szCs w:val="23"/>
                <w:lang w:eastAsia="ru-RU"/>
              </w:rPr>
            </w:pPr>
          </w:p>
        </w:tc>
      </w:tr>
    </w:tbl>
    <w:p w:rsidR="0007341B" w:rsidRDefault="00CB1252"/>
    <w:sectPr w:rsidR="0007341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93" w:rsidRDefault="00FF1E6D">
      <w:pPr>
        <w:spacing w:after="0" w:line="240" w:lineRule="auto"/>
      </w:pPr>
      <w:r>
        <w:separator/>
      </w:r>
    </w:p>
  </w:endnote>
  <w:endnote w:type="continuationSeparator" w:id="0">
    <w:p w:rsidR="00802F93" w:rsidRDefault="00F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93" w:rsidRDefault="00FF1E6D">
      <w:pPr>
        <w:spacing w:after="0" w:line="240" w:lineRule="auto"/>
      </w:pPr>
      <w:r>
        <w:separator/>
      </w:r>
    </w:p>
  </w:footnote>
  <w:footnote w:type="continuationSeparator" w:id="0">
    <w:p w:rsidR="00802F93" w:rsidRDefault="00FF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4F" w:rsidRPr="008A194F" w:rsidRDefault="00FF1E6D" w:rsidP="008A194F">
    <w:pPr>
      <w:pStyle w:val="a4"/>
      <w:jc w:val="right"/>
      <w:rPr>
        <w:rFonts w:ascii="Times New Roman" w:hAnsi="Times New Roman" w:cs="Times New Roman"/>
        <w:lang w:val="en-US"/>
      </w:rPr>
    </w:pPr>
    <w:r w:rsidRPr="008A194F">
      <w:rPr>
        <w:rFonts w:ascii="Times New Roman" w:hAnsi="Times New Roman" w:cs="Times New Roman"/>
        <w:lang w:val="en-US"/>
      </w:rPr>
      <w:fldChar w:fldCharType="begin"/>
    </w:r>
    <w:r w:rsidRPr="008A194F">
      <w:rPr>
        <w:rFonts w:ascii="Times New Roman" w:hAnsi="Times New Roman" w:cs="Times New Roman"/>
        <w:lang w:val="en-US"/>
      </w:rPr>
      <w:instrText>PAGE   \* MERGEFORMAT</w:instrText>
    </w:r>
    <w:r w:rsidRPr="008A194F">
      <w:rPr>
        <w:rFonts w:ascii="Times New Roman" w:hAnsi="Times New Roman" w:cs="Times New Roman"/>
        <w:lang w:val="en-US"/>
      </w:rPr>
      <w:fldChar w:fldCharType="separate"/>
    </w:r>
    <w:r w:rsidR="00CB1252">
      <w:rPr>
        <w:rFonts w:ascii="Times New Roman" w:hAnsi="Times New Roman" w:cs="Times New Roman"/>
        <w:noProof/>
        <w:lang w:val="en-US"/>
      </w:rPr>
      <w:t>2</w:t>
    </w:r>
    <w:r w:rsidRPr="008A194F">
      <w:rPr>
        <w:rFonts w:ascii="Times New Roman" w:hAnsi="Times New Roman" w:cs="Times New Roman"/>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1."/>
      <w:lvlJc w:val="left"/>
      <w:rPr>
        <w:b w:val="0"/>
        <w:bCs w:val="0"/>
        <w:i w:val="0"/>
        <w:iCs w:val="0"/>
        <w:smallCaps w:val="0"/>
        <w:strike w:val="0"/>
        <w:color w:val="000000"/>
        <w:spacing w:val="0"/>
        <w:w w:val="100"/>
        <w:position w:val="0"/>
        <w:sz w:val="23"/>
        <w:szCs w:val="23"/>
        <w:u w:val="none"/>
      </w:rPr>
    </w:lvl>
    <w:lvl w:ilvl="2">
      <w:start w:val="2"/>
      <w:numFmt w:val="decimal"/>
      <w:lvlText w:val="%1."/>
      <w:lvlJc w:val="left"/>
      <w:rPr>
        <w:b w:val="0"/>
        <w:bCs w:val="0"/>
        <w:i w:val="0"/>
        <w:iCs w:val="0"/>
        <w:smallCaps w:val="0"/>
        <w:strike w:val="0"/>
        <w:color w:val="000000"/>
        <w:spacing w:val="0"/>
        <w:w w:val="100"/>
        <w:position w:val="0"/>
        <w:sz w:val="23"/>
        <w:szCs w:val="23"/>
        <w:u w:val="none"/>
      </w:rPr>
    </w:lvl>
    <w:lvl w:ilvl="3">
      <w:start w:val="2"/>
      <w:numFmt w:val="decimal"/>
      <w:lvlText w:val="%1."/>
      <w:lvlJc w:val="left"/>
      <w:rPr>
        <w:b w:val="0"/>
        <w:bCs w:val="0"/>
        <w:i w:val="0"/>
        <w:iCs w:val="0"/>
        <w:smallCaps w:val="0"/>
        <w:strike w:val="0"/>
        <w:color w:val="000000"/>
        <w:spacing w:val="0"/>
        <w:w w:val="100"/>
        <w:position w:val="0"/>
        <w:sz w:val="23"/>
        <w:szCs w:val="23"/>
        <w:u w:val="none"/>
      </w:rPr>
    </w:lvl>
    <w:lvl w:ilvl="4">
      <w:start w:val="2"/>
      <w:numFmt w:val="decimal"/>
      <w:lvlText w:val="%1."/>
      <w:lvlJc w:val="left"/>
      <w:rPr>
        <w:b w:val="0"/>
        <w:bCs w:val="0"/>
        <w:i w:val="0"/>
        <w:iCs w:val="0"/>
        <w:smallCaps w:val="0"/>
        <w:strike w:val="0"/>
        <w:color w:val="000000"/>
        <w:spacing w:val="0"/>
        <w:w w:val="100"/>
        <w:position w:val="0"/>
        <w:sz w:val="23"/>
        <w:szCs w:val="23"/>
        <w:u w:val="none"/>
      </w:rPr>
    </w:lvl>
    <w:lvl w:ilvl="5">
      <w:start w:val="2"/>
      <w:numFmt w:val="decimal"/>
      <w:lvlText w:val="%1."/>
      <w:lvlJc w:val="left"/>
      <w:rPr>
        <w:b w:val="0"/>
        <w:bCs w:val="0"/>
        <w:i w:val="0"/>
        <w:iCs w:val="0"/>
        <w:smallCaps w:val="0"/>
        <w:strike w:val="0"/>
        <w:color w:val="000000"/>
        <w:spacing w:val="0"/>
        <w:w w:val="100"/>
        <w:position w:val="0"/>
        <w:sz w:val="23"/>
        <w:szCs w:val="23"/>
        <w:u w:val="none"/>
      </w:rPr>
    </w:lvl>
    <w:lvl w:ilvl="6">
      <w:start w:val="2"/>
      <w:numFmt w:val="decimal"/>
      <w:lvlText w:val="%1."/>
      <w:lvlJc w:val="left"/>
      <w:rPr>
        <w:b w:val="0"/>
        <w:bCs w:val="0"/>
        <w:i w:val="0"/>
        <w:iCs w:val="0"/>
        <w:smallCaps w:val="0"/>
        <w:strike w:val="0"/>
        <w:color w:val="000000"/>
        <w:spacing w:val="0"/>
        <w:w w:val="100"/>
        <w:position w:val="0"/>
        <w:sz w:val="23"/>
        <w:szCs w:val="23"/>
        <w:u w:val="none"/>
      </w:rPr>
    </w:lvl>
    <w:lvl w:ilvl="7">
      <w:start w:val="2"/>
      <w:numFmt w:val="decimal"/>
      <w:lvlText w:val="%1."/>
      <w:lvlJc w:val="left"/>
      <w:rPr>
        <w:b w:val="0"/>
        <w:bCs w:val="0"/>
        <w:i w:val="0"/>
        <w:iCs w:val="0"/>
        <w:smallCaps w:val="0"/>
        <w:strike w:val="0"/>
        <w:color w:val="000000"/>
        <w:spacing w:val="0"/>
        <w:w w:val="100"/>
        <w:position w:val="0"/>
        <w:sz w:val="23"/>
        <w:szCs w:val="23"/>
        <w:u w:val="none"/>
      </w:rPr>
    </w:lvl>
    <w:lvl w:ilvl="8">
      <w:start w:val="2"/>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96"/>
    <w:rsid w:val="00026C96"/>
    <w:rsid w:val="00042488"/>
    <w:rsid w:val="00802F93"/>
    <w:rsid w:val="00CB1252"/>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DCEF-8D6E-4A01-B1EA-A81595EB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94F"/>
    <w:rPr>
      <w:color w:val="0563C1" w:themeColor="hyperlink"/>
      <w:u w:val="single"/>
    </w:rPr>
  </w:style>
  <w:style w:type="paragraph" w:styleId="a4">
    <w:name w:val="header"/>
    <w:basedOn w:val="a"/>
    <w:link w:val="a5"/>
    <w:uiPriority w:val="99"/>
    <w:unhideWhenUsed/>
    <w:rsid w:val="008A1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194F"/>
  </w:style>
  <w:style w:type="paragraph" w:styleId="a6">
    <w:name w:val="footer"/>
    <w:basedOn w:val="a"/>
    <w:link w:val="a7"/>
    <w:uiPriority w:val="99"/>
    <w:unhideWhenUsed/>
    <w:rsid w:val="008A1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94F"/>
  </w:style>
  <w:style w:type="paragraph" w:styleId="a8">
    <w:name w:val="List Paragraph"/>
    <w:basedOn w:val="a"/>
    <w:uiPriority w:val="34"/>
    <w:qFormat/>
    <w:rsid w:val="008A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4</cp:revision>
  <dcterms:created xsi:type="dcterms:W3CDTF">2019-12-25T07:26:00Z</dcterms:created>
  <dcterms:modified xsi:type="dcterms:W3CDTF">2020-01-20T13:05:00Z</dcterms:modified>
</cp:coreProperties>
</file>